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r>
        <w:t xml:space="preserve">Fleet operations brief</w:t>
      </w:r>
    </w:p>
    <w:p>
      <w:pPr>
        <w:pStyle w:val="Heading2"/>
      </w:pPr>
      <w:r>
        <w:t xml:space="preserve">1. Purpose</w:t>
      </w:r>
    </w:p>
    <w:p>
      <w:r>
        <w:t xml:space="preserve">This brief covers the </w:t>
      </w:r>
      <w:r>
        <w:rPr>
          <w:b/>
          <w:bCs/>
        </w:rPr>
        <w:t xml:space="preserve">monthly close</w:t>
      </w:r>
      <w:r>
        <w:t xml:space="preserve"> for the x402 lane.</w:t>
      </w:r>
    </w:p>
    <w:p>
      <w:r>
        <w:t xml:space="preserve">It is a sample document for the doc-format prototype.</w:t>
      </w:r>
    </w:p>
    <w:p>
      <w:pPr>
        <w:pStyle w:val="Heading3"/>
      </w:pPr>
      <w:r>
        <w:t xml:space="preserve">1.1 Scope</w:t>
      </w:r>
    </w:p>
    <w:p>
      <w:r>
        <w:t xml:space="preserve">The close covers the two lanes &amp; their rails:</w:t>
      </w:r>
    </w:p>
    <w:p>
      <w:pPr>
        <w:numPr>
          <w:ilvl w:val="0"/>
          <w:numId w:val="1"/>
        </w:numPr>
      </w:pPr>
      <w:r>
        <w:t xml:space="preserve">x402 settlements on Base (USDC)</w:t>
      </w:r>
    </w:p>
    <w:p>
      <w:pPr>
        <w:numPr>
          <w:ilvl w:val="0"/>
          <w:numId w:val="1"/>
        </w:numPr>
      </w:pPr>
      <w:r>
        <w:t xml:space="preserve">Stripe payouts for Fiverr orders</w:t>
      </w:r>
    </w:p>
    <w:p>
      <w:pPr>
        <w:numPr>
          <w:ilvl w:val="0"/>
          <w:numId w:val="1"/>
        </w:numPr>
      </w:pPr>
      <w:r>
        <w:t xml:space="preserve">rent &amp; hosting, the two standing costs</w:t>
      </w:r>
    </w:p>
    <w:p>
      <w:pPr>
        <w:pStyle w:val="Heading2"/>
      </w:pPr>
      <w:r>
        <w:t xml:space="preserve">2. Rules</w:t>
      </w:r>
    </w:p>
    <w:p>
      <w:r>
        <w:t xml:space="preserve">The close must be </w:t>
      </w:r>
      <w:r>
        <w:rPr>
          <w:b/>
          <w:bCs/>
        </w:rPr>
        <w:t xml:space="preserve">byte-deterministic</w:t>
      </w:r>
      <w:r>
        <w:t xml:space="preserve">: same inputs, same bytes.</w:t>
      </w:r>
    </w:p>
    <w:p>
      <w:r>
        <w:t xml:space="preserve">Transfers are matched at </w:t>
      </w:r>
      <w:r>
        <w:rPr>
          <w:b/>
          <w:bCs/>
        </w:rPr>
        <w:t xml:space="preserve">exact-cent mirror</w:t>
      </w:r>
      <w:r>
        <w:t xml:space="preserve"> and excluded from P&amp;L.</w:t>
      </w:r>
    </w:p>
    <w:p>
      <w:pPr>
        <w:pStyle w:val="Heading3"/>
      </w:pPr>
      <w:r>
        <w:t xml:space="preserve">2.1 Refusals</w:t>
      </w:r>
    </w:p>
    <w:p>
      <w:r>
        <w:t xml:space="preserve">These inputs are refused, not guessed:</w:t>
      </w:r>
    </w:p>
    <w:p>
      <w:pPr>
        <w:numPr>
          <w:ilvl w:val="0"/>
          <w:numId w:val="1"/>
        </w:numPr>
      </w:pPr>
      <w:r>
        <w:t xml:space="preserve">an empty document</w:t>
      </w:r>
    </w:p>
    <w:p>
      <w:pPr>
        <w:numPr>
          <w:ilvl w:val="0"/>
          <w:numId w:val="1"/>
        </w:numPr>
      </w:pPr>
      <w:r>
        <w:t xml:space="preserve">an unclosed bold marker</w:t>
      </w:r>
    </w:p>
    <w:p>
      <w:pPr>
        <w:numPr>
          <w:ilvl w:val="0"/>
          <w:numId w:val="1"/>
        </w:numPr>
      </w:pPr>
      <w:r>
        <w:t xml:space="preserve">a nested list marker</w:t>
      </w:r>
    </w:p>
    <w:p>
      <w:pPr>
        <w:pStyle w:val="Heading2"/>
      </w:pPr>
      <w:r>
        <w:t xml:space="preserve">3. Verification</w:t>
      </w:r>
    </w:p>
    <w:p>
      <w:r>
        <w:t xml:space="preserve">The guard re-derives every count from the XML:</w:t>
      </w:r>
    </w:p>
    <w:p>
      <w:pPr>
        <w:numPr>
          <w:ilvl w:val="0"/>
          <w:numId w:val="1"/>
        </w:numPr>
      </w:pPr>
      <w:r>
        <w:t xml:space="preserve">paragraph count</w:t>
      </w:r>
    </w:p>
    <w:p>
      <w:pPr>
        <w:numPr>
          <w:ilvl w:val="0"/>
          <w:numId w:val="1"/>
        </w:numPr>
      </w:pPr>
      <w:r>
        <w:t xml:space="preserve">heading levels</w:t>
      </w:r>
    </w:p>
    <w:p>
      <w:pPr>
        <w:numPr>
          <w:ilvl w:val="0"/>
          <w:numId w:val="1"/>
        </w:numPr>
      </w:pPr>
      <w:r>
        <w:t xml:space="preserve">list items</w:t>
      </w:r>
    </w:p>
    <w:p>
      <w:pPr>
        <w:numPr>
          <w:ilvl w:val="0"/>
          <w:numId w:val="1"/>
        </w:numPr>
      </w:pPr>
      <w:r>
        <w:t xml:space="preserve">bold runs</w:t>
      </w:r>
    </w:p>
    <w:p>
      <w:r>
        <w:rPr>
          <w:b/>
          <w:bCs/>
        </w:rPr>
        <w:t xml:space="preserve">End of brief.</w:t>
      </w:r>
    </w:p>
    <w:sectPr>
      <w:pgSz w:w="12240" w:h="15840"/>
      <w:pgMar w:top="1440" w:right="1440" w:bottom="1440" w:left="1440" w:header="720" w:footer="720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"/>
      <w:lvlJc w:val="left"/>
      <w:pPr>
        <w:ind w:left="1440" w:hanging="360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Calibri" w:hAnsi="Calibri" w:cs="Times New Roman"/>
        <w:sz w:val="22"/>
        <w:szCs w:val="22"/>
      </w:rPr>
    </w:rPrDefault>
  </w:docDefault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120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00" w:after="10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before="160" w:after="80"/>
      <w:outlineLvl w:val="2"/>
    </w:pPr>
    <w:rPr>
      <w:b/>
      <w:sz w:val="24"/>
      <w:szCs w:val="24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/Relationships>
</file>